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57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76"/>
        <w:tblGridChange w:id="0">
          <w:tblGrid>
            <w:gridCol w:w="9576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bookmarkStart w:colFirst="0" w:colLast="0" w:name="h.gjdgxs" w:id="0"/>
            <w:bookmarkEnd w:id="0"/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Patient Simulation Exercise: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Healthy Eating with Chronic Conditions</w:t>
            </w:r>
          </w:p>
        </w:tc>
      </w:tr>
    </w:tbl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sz w:val="28"/>
          <w:szCs w:val="28"/>
          <w:u w:val="single"/>
          <w:rtl w:val="0"/>
        </w:rPr>
        <w:t xml:space="preserve">Objective:</w:t>
      </w:r>
      <w:r w:rsidDel="00000000" w:rsidR="00000000" w:rsidRPr="00000000">
        <w:rPr>
          <w:sz w:val="28"/>
          <w:szCs w:val="28"/>
          <w:rtl w:val="0"/>
        </w:rPr>
        <w:t xml:space="preserve"> To foster an understanding of the barriers people with chronic conditions face as they attempt to follow our nutrition advice.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sz w:val="28"/>
          <w:szCs w:val="28"/>
          <w:u w:val="single"/>
          <w:rtl w:val="0"/>
        </w:rPr>
        <w:t xml:space="preserve">Prep Work: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720" w:hanging="360"/>
        <w:contextualSpacing w:val="1"/>
        <w:rPr>
          <w:b w:val="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Review MyPlateMethod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40" w:lineRule="auto"/>
        <w:ind w:left="1440" w:hanging="360"/>
        <w:contextualSpacing w:val="1"/>
        <w:rPr>
          <w:b w:val="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www.choosemyplate.gov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720" w:hanging="360"/>
        <w:contextualSpacing w:val="1"/>
        <w:rPr>
          <w:b w:val="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Review DASH diet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40" w:lineRule="auto"/>
        <w:ind w:left="1440" w:hanging="360"/>
        <w:contextualSpacing w:val="1"/>
        <w:rPr>
          <w:b w:val="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www.mayoclinic.org/healthy-lifestyle/nutrition-and-healthy-eating/in-depth/dash-diet/art-20048456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720" w:hanging="360"/>
        <w:contextualSpacing w:val="1"/>
        <w:rPr>
          <w:b w:val="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Become familiar with SNAP (Supplemental Nutritional Assistance Program)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40" w:lineRule="auto"/>
        <w:ind w:left="1440" w:hanging="360"/>
        <w:contextualSpacing w:val="1"/>
        <w:rPr>
          <w:b w:val="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www.fns.usda.gov/snap/supplemental-nutrition-assistance-program-snap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sz w:val="28"/>
          <w:szCs w:val="28"/>
          <w:u w:val="single"/>
          <w:rtl w:val="0"/>
        </w:rPr>
        <w:t xml:space="preserve">Day of Exercise: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720" w:hanging="360"/>
        <w:contextualSpacing w:val="1"/>
        <w:rPr>
          <w:b w:val="0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Meet with the assigned preceptor to review and answer questions from the  prep work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720" w:hanging="360"/>
        <w:contextualSpacing w:val="1"/>
        <w:rPr>
          <w:b w:val="0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Read Patient Scenario 1 and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720" w:hanging="360"/>
        <w:contextualSpacing w:val="1"/>
        <w:rPr>
          <w:b w:val="0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Complete the carbohydrate worksheet for each patient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40" w:lineRule="auto"/>
        <w:ind w:left="1440" w:hanging="360"/>
        <w:contextualSpacing w:val="1"/>
        <w:rPr>
          <w:b w:val="0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Use this and patient specific factors to come up with a one-day meal plan for each patient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720" w:hanging="360"/>
        <w:contextualSpacing w:val="1"/>
        <w:rPr>
          <w:b w:val="0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Start shopping!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40" w:lineRule="auto"/>
        <w:ind w:left="1440" w:hanging="360"/>
        <w:contextualSpacing w:val="1"/>
        <w:rPr>
          <w:b w:val="0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ABCCM Food Pantry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40" w:lineRule="auto"/>
        <w:ind w:left="1440" w:hanging="360"/>
        <w:contextualSpacing w:val="1"/>
        <w:rPr>
          <w:b w:val="0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Ingles at 1572 SandHill Rd, Candler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720" w:hanging="360"/>
        <w:contextualSpacing w:val="1"/>
        <w:rPr>
          <w:b w:val="0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Debrief with preceptor at Ingles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40" w:lineRule="auto"/>
        <w:ind w:left="1440" w:hanging="360"/>
        <w:contextualSpacing w:val="1"/>
        <w:rPr>
          <w:b w:val="0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Be prepared to discuss: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240" w:lineRule="auto"/>
        <w:ind w:left="2160" w:hanging="360"/>
        <w:contextualSpacing w:val="1"/>
        <w:rPr>
          <w:b w:val="0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Your meal plans (cost and carbohydrate intake)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240" w:lineRule="auto"/>
        <w:ind w:left="2160" w:hanging="360"/>
        <w:contextualSpacing w:val="1"/>
        <w:rPr>
          <w:b w:val="0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What did you learn?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240" w:lineRule="auto"/>
        <w:ind w:left="2160" w:hanging="360"/>
        <w:contextualSpacing w:val="1"/>
        <w:rPr>
          <w:b w:val="0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What was the most challenging aspect of the exercise?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240" w:lineRule="auto"/>
        <w:ind w:left="2160" w:hanging="360"/>
        <w:contextualSpacing w:val="1"/>
        <w:rPr>
          <w:b w:val="0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What was the easiest?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240" w:lineRule="auto"/>
        <w:ind w:left="2160" w:hanging="360"/>
        <w:contextualSpacing w:val="1"/>
        <w:rPr>
          <w:b w:val="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How will you use what you learned from this experience in your future patient care?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288.0" w:type="dxa"/>
        <w:left w:w="115.0" w:type="dxa"/>
        <w:bottom w:w="288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